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0516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277AEB72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ОПШТИНСК</w:t>
      </w:r>
      <w:r w:rsidRPr="00AE4C6F">
        <w:rPr>
          <w:rFonts w:ascii="Times New Roman" w:hAnsi="Times New Roman" w:cs="Times New Roman"/>
          <w:sz w:val="24"/>
          <w:szCs w:val="24"/>
        </w:rPr>
        <w:t>A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 xml:space="preserve">  УПРАВА</w:t>
      </w:r>
    </w:p>
    <w:p w14:paraId="31A72EB6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ОПШТИНЕ ДОЉЕВАЦ</w:t>
      </w:r>
    </w:p>
    <w:p w14:paraId="75B7BBBA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AE4C6F">
        <w:rPr>
          <w:rFonts w:ascii="Times New Roman" w:hAnsi="Times New Roman" w:cs="Times New Roman"/>
          <w:sz w:val="24"/>
          <w:szCs w:val="24"/>
        </w:rPr>
        <w:t>38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14:paraId="24A9D6F1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2019. год.</w:t>
      </w:r>
    </w:p>
    <w:p w14:paraId="22A7A582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14:paraId="14852A6C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B91B91" w14:textId="77777777" w:rsidR="004A6EB4" w:rsidRPr="00AE4C6F" w:rsidRDefault="004A6EB4" w:rsidP="004A6EB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637B90" w14:textId="77777777" w:rsidR="004A6EB4" w:rsidRPr="00AE4C6F" w:rsidRDefault="004A6EB4" w:rsidP="004A6EB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88471D" w14:textId="77777777" w:rsidR="004A6EB4" w:rsidRPr="00AE4C6F" w:rsidRDefault="004A6EB4" w:rsidP="004A6E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>ПРЕДМЕТ: Одговор</w:t>
      </w:r>
      <w:r w:rsidRPr="00AE4C6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постављена питања у вези јавне набавке</w:t>
      </w:r>
      <w:r w:rsidRPr="00AE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C6F">
        <w:rPr>
          <w:rFonts w:ascii="Times New Roman" w:hAnsi="Times New Roman" w:cs="Times New Roman"/>
          <w:b/>
          <w:sz w:val="24"/>
          <w:szCs w:val="24"/>
          <w:lang w:val="sr-Cyrl-RS"/>
        </w:rPr>
        <w:t>радова на повезивању система „Пуста река са системом нивос-водоснабдевање села Белотинац“ I фаза у отвореном поступку</w:t>
      </w: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>, број 404</w:t>
      </w:r>
      <w:r w:rsidRPr="00AE4C6F">
        <w:rPr>
          <w:rFonts w:ascii="Times New Roman" w:hAnsi="Times New Roman" w:cs="Times New Roman"/>
          <w:b/>
          <w:sz w:val="24"/>
          <w:szCs w:val="24"/>
          <w:lang w:val="en-AU"/>
        </w:rPr>
        <w:t>-2-</w:t>
      </w: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>38</w:t>
      </w:r>
      <w:r w:rsidRPr="00AE4C6F">
        <w:rPr>
          <w:rFonts w:ascii="Times New Roman" w:hAnsi="Times New Roman" w:cs="Times New Roman"/>
          <w:b/>
          <w:sz w:val="24"/>
          <w:szCs w:val="24"/>
          <w:lang w:val="en-AU"/>
        </w:rPr>
        <w:t>/201</w:t>
      </w: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AE4C6F">
        <w:rPr>
          <w:rFonts w:ascii="Times New Roman" w:hAnsi="Times New Roman" w:cs="Times New Roman"/>
          <w:b/>
          <w:sz w:val="24"/>
          <w:szCs w:val="24"/>
          <w:lang w:val="en-AU"/>
        </w:rPr>
        <w:t>-0</w:t>
      </w:r>
      <w:r w:rsidRPr="00AE4C6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551CEA7E" w14:textId="77777777" w:rsidR="004A6EB4" w:rsidRPr="00AE4C6F" w:rsidRDefault="004A6EB4" w:rsidP="004A6E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hAnsi="Times New Roman" w:cs="Times New Roman"/>
          <w:sz w:val="24"/>
          <w:szCs w:val="24"/>
          <w:lang w:val="sr-Cyrl-CS"/>
        </w:rPr>
        <w:t>У вези постављених питања за јавну набавку</w:t>
      </w:r>
      <w:r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радова на повезивању система „Пуста река са системом нивос-водоснабдевање села Белотинац“ I фаза у отвореном поступку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, број 404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/201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E4C6F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AE4C6F">
        <w:rPr>
          <w:rFonts w:ascii="Times New Roman" w:hAnsi="Times New Roman" w:cs="Times New Roman"/>
          <w:sz w:val="24"/>
          <w:szCs w:val="24"/>
          <w:lang w:val="sr-Cyrl-CS"/>
        </w:rPr>
        <w:t>3 , а која  гласи:</w:t>
      </w:r>
    </w:p>
    <w:p w14:paraId="515CBE23" w14:textId="77777777" w:rsidR="004A6EB4" w:rsidRPr="00AE4C6F" w:rsidRDefault="004A6EB4" w:rsidP="004A6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Питање :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ли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Latn-RS"/>
        </w:rPr>
        <w:t xml:space="preserve">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су понуђачи у обавези доставити уз понуду важећу лиценцу надлежног органа за обављање делатности која је предмет јавне набавке или не?</w:t>
      </w:r>
    </w:p>
    <w:p w14:paraId="6DF720CD" w14:textId="77777777" w:rsidR="00DA7C2B" w:rsidRPr="00AE4C6F" w:rsidRDefault="00DA7C2B" w:rsidP="00DA7C2B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B23B61" w14:textId="624C35F9" w:rsidR="004A6EB4" w:rsidRPr="00AE4C6F" w:rsidRDefault="004A6EB4" w:rsidP="004A6EB4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Понуђач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поступку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јавне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набавке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мора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доказати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има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важећу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дозволу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надлежног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органа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за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обављање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делатности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која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је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предмет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јавне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набавке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ако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је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таква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дозвола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предвиђена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посебним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прописом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члан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75.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став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тачка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Закона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како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посебним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прописом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таква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лиценца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није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предвиђена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исту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није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потребно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</w:rPr>
        <w:t>достављати</w:t>
      </w:r>
      <w:proofErr w:type="spellEnd"/>
      <w:r w:rsidR="003F3AD9" w:rsidRPr="00AE4C6F">
        <w:rPr>
          <w:rFonts w:ascii="Times New Roman" w:eastAsia="Calibri-Bold" w:hAnsi="Times New Roman" w:cs="Times New Roman"/>
          <w:color w:val="000000"/>
          <w:sz w:val="24"/>
          <w:szCs w:val="24"/>
          <w:u w:val="single"/>
        </w:rPr>
        <w:t>.</w:t>
      </w:r>
    </w:p>
    <w:p w14:paraId="1C9CC917" w14:textId="77777777" w:rsidR="004A6EB4" w:rsidRPr="00AE4C6F" w:rsidRDefault="004A6EB4" w:rsidP="004A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DB2A75" w14:textId="3DB892DA" w:rsidR="004A6EB4" w:rsidRPr="00AE4C6F" w:rsidRDefault="004A6EB4" w:rsidP="004A6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Питање: </w:t>
      </w:r>
      <w:r w:rsidR="0054054A"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Да ли су понуђачи у погледу испуњавања услова кадровског капацитита, у обавези доставити уз понуду М обрасце и уговоре о раду за свих 10 радника или само за носиоца лиценце?</w:t>
      </w:r>
    </w:p>
    <w:p w14:paraId="6CE68369" w14:textId="77777777" w:rsidR="002C71DF" w:rsidRPr="00AE4C6F" w:rsidRDefault="002C71DF" w:rsidP="002C71DF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F393F52" w14:textId="2452A42E" w:rsidR="00620DB9" w:rsidRPr="00AE4C6F" w:rsidRDefault="00CB33CF" w:rsidP="00620DB9">
      <w:pPr>
        <w:autoSpaceDE w:val="0"/>
        <w:autoSpaceDN w:val="0"/>
        <w:adjustRightInd w:val="0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DB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онуђач је 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обавези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уз понуду </w:t>
      </w:r>
      <w:r w:rsidR="00620DB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 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М обрасце и уговоре о раду</w:t>
      </w:r>
      <w:r w:rsidR="00620DB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(на неодређено или одређено време)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свих 10 радника</w:t>
      </w:r>
      <w:r w:rsidR="00620DB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 којих је најмање</w:t>
      </w:r>
      <w:r w:rsidR="00620DB9" w:rsidRPr="00AE4C6F">
        <w:rPr>
          <w:rFonts w:ascii="Times New Roman" w:hAnsi="Times New Roman" w:cs="Times New Roman"/>
          <w:sz w:val="24"/>
          <w:szCs w:val="24"/>
          <w:lang w:val="sr-Cyrl-CS"/>
        </w:rPr>
        <w:t>1 са личним лиценцама</w:t>
      </w:r>
      <w:r w:rsidR="00620DB9" w:rsidRPr="00AE4C6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20DB9" w:rsidRPr="00AE4C6F">
        <w:rPr>
          <w:rFonts w:ascii="Times New Roman" w:hAnsi="Times New Roman" w:cs="Times New Roman"/>
          <w:sz w:val="24"/>
          <w:szCs w:val="24"/>
          <w:lang w:val="sr-Cyrl-CS"/>
        </w:rPr>
        <w:t xml:space="preserve">-дипл. инж. грађевине 413 или 414 </w:t>
      </w:r>
    </w:p>
    <w:p w14:paraId="03F89FB4" w14:textId="15A44823" w:rsidR="00CB33CF" w:rsidRPr="00AE4C6F" w:rsidRDefault="00620DB9" w:rsidP="00CB33CF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71DF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4135DA8" w14:textId="3C1D5749" w:rsidR="00CB33CF" w:rsidRPr="00AE4C6F" w:rsidRDefault="00620DB9" w:rsidP="00E45644">
      <w:pPr>
        <w:pStyle w:val="ListParagraph"/>
        <w:tabs>
          <w:tab w:val="left" w:pos="709"/>
        </w:tabs>
        <w:spacing w:after="0"/>
        <w:ind w:left="420"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val="sr-Cyrl-CS"/>
        </w:rPr>
      </w:pPr>
      <w:r w:rsidRPr="00AE4C6F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val="sr-Cyrl-CS"/>
        </w:rPr>
        <w:t>Извод из конкурсне документације, стр. 19..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3CF" w:rsidRPr="00AE4C6F" w14:paraId="616E9A8A" w14:textId="77777777" w:rsidTr="00166912">
        <w:trPr>
          <w:trHeight w:val="3344"/>
        </w:trPr>
        <w:tc>
          <w:tcPr>
            <w:tcW w:w="9923" w:type="dxa"/>
            <w:shd w:val="clear" w:color="auto" w:fill="auto"/>
          </w:tcPr>
          <w:p w14:paraId="25FCE8C0" w14:textId="04DD6D59" w:rsidR="00CB33CF" w:rsidRPr="00AE4C6F" w:rsidRDefault="00CB33CF" w:rsidP="0016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lastRenderedPageBreak/>
              <w:t>Услов:</w:t>
            </w:r>
            <w:r w:rsidR="002C71DF" w:rsidRPr="00AE4C6F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потребним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квалификацијама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извршилаца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9C4D2" w14:textId="77777777" w:rsidR="00CB33CF" w:rsidRPr="00AE4C6F" w:rsidRDefault="00CB33CF" w:rsidP="0016691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располаже довољним кадровским капацитетом и то:</w:t>
            </w:r>
          </w:p>
          <w:p w14:paraId="44809989" w14:textId="77777777" w:rsidR="00CB33CF" w:rsidRPr="00AE4C6F" w:rsidRDefault="00CB33CF" w:rsidP="0016691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има најмање 10 радника запослених на неодређено или одређено време, или другом виду радног ангажовања, од којих најмање 1 са личним лиценцама и то:</w:t>
            </w:r>
          </w:p>
          <w:p w14:paraId="148EF051" w14:textId="77777777" w:rsidR="00CB33CF" w:rsidRPr="00AE4C6F" w:rsidRDefault="00CB33CF" w:rsidP="0016691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-дипл. инж. грађевине 413 или 414 </w:t>
            </w:r>
          </w:p>
          <w:p w14:paraId="4AA61B35" w14:textId="77777777" w:rsidR="00CB33CF" w:rsidRPr="00AE4C6F" w:rsidRDefault="00CB33CF" w:rsidP="0016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B9B9D" w14:textId="1D1335B9" w:rsidR="00CB33CF" w:rsidRPr="00AE4C6F" w:rsidRDefault="00CB33CF" w:rsidP="00620DB9">
      <w:pPr>
        <w:rPr>
          <w:rFonts w:ascii="Times New Roman" w:hAnsi="Times New Roman" w:cs="Times New Roman"/>
          <w:sz w:val="24"/>
          <w:szCs w:val="24"/>
        </w:rPr>
      </w:pPr>
    </w:p>
    <w:p w14:paraId="0500AAD7" w14:textId="77777777" w:rsidR="00620DB9" w:rsidRPr="00AE4C6F" w:rsidRDefault="00620DB9" w:rsidP="00620D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33CF" w:rsidRPr="00AE4C6F" w14:paraId="5B4ADF5C" w14:textId="77777777" w:rsidTr="00166912">
        <w:tc>
          <w:tcPr>
            <w:tcW w:w="9923" w:type="dxa"/>
            <w:shd w:val="clear" w:color="auto" w:fill="auto"/>
          </w:tcPr>
          <w:p w14:paraId="02FDBD11" w14:textId="77777777" w:rsidR="00CB33CF" w:rsidRPr="00AE4C6F" w:rsidRDefault="00CB33CF" w:rsidP="00166912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AE4C6F">
              <w:rPr>
                <w:rFonts w:ascii="Times New Roman" w:hAnsi="Times New Roman"/>
                <w:b/>
                <w:i/>
                <w:color w:val="auto"/>
                <w:lang w:val="sr-Cyrl-CS"/>
              </w:rPr>
              <w:t>Доказ</w:t>
            </w:r>
            <w:r w:rsidRPr="00AE4C6F">
              <w:rPr>
                <w:rFonts w:ascii="Times New Roman" w:hAnsi="Times New Roman"/>
                <w:color w:val="auto"/>
                <w:lang w:val="sr-Cyrl-CS"/>
              </w:rPr>
              <w:t>:</w:t>
            </w:r>
          </w:p>
        </w:tc>
      </w:tr>
      <w:tr w:rsidR="00CB33CF" w:rsidRPr="00AE4C6F" w14:paraId="3EE64F8E" w14:textId="77777777" w:rsidTr="00166912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6267B060" w14:textId="77777777" w:rsidR="00CB33CF" w:rsidRPr="00AE4C6F" w:rsidRDefault="00CB33CF" w:rsidP="00166912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AE4C6F">
              <w:rPr>
                <w:rFonts w:ascii="Times New Roman" w:hAnsi="Times New Roman"/>
                <w:b/>
                <w:i/>
                <w:color w:val="auto"/>
                <w:lang w:val="sr-Cyrl-CS"/>
              </w:rPr>
              <w:t>а) о</w:t>
            </w:r>
            <w:r w:rsidRPr="00AE4C6F">
              <w:rPr>
                <w:rFonts w:ascii="Times New Roman" w:hAnsi="Times New Roman"/>
                <w:b/>
                <w:color w:val="auto"/>
                <w:lang w:val="sr-Cyrl-CS"/>
              </w:rPr>
              <w:t>бавештење о поднетој пореској пријави ППП-ПД</w:t>
            </w:r>
            <w:r w:rsidRPr="00AE4C6F">
              <w:rPr>
                <w:rFonts w:ascii="Times New Roman" w:hAnsi="Times New Roman"/>
                <w:color w:val="auto"/>
                <w:lang w:val="sr-Cyrl-CS"/>
              </w:rPr>
              <w:t>, извод из појединачне пореске пријаве за порез и доприносе по одбитку, а којим понуђач доказује да располаже са потребним бројем извршилаца.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понуда, оверену печатом и потписом овлашћеног лица понуђача.</w:t>
            </w:r>
          </w:p>
        </w:tc>
      </w:tr>
      <w:tr w:rsidR="00CB33CF" w:rsidRPr="00AE4C6F" w14:paraId="65001AB7" w14:textId="77777777" w:rsidTr="00166912">
        <w:tc>
          <w:tcPr>
            <w:tcW w:w="9923" w:type="dxa"/>
            <w:tcBorders>
              <w:bottom w:val="nil"/>
            </w:tcBorders>
            <w:shd w:val="clear" w:color="auto" w:fill="auto"/>
          </w:tcPr>
          <w:p w14:paraId="2486DE05" w14:textId="77777777" w:rsidR="00CB33CF" w:rsidRPr="00AE4C6F" w:rsidRDefault="00CB33CF" w:rsidP="00166912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 w:rsidRPr="00AE4C6F">
              <w:rPr>
                <w:rFonts w:ascii="Times New Roman" w:hAnsi="Times New Roman"/>
                <w:color w:val="auto"/>
                <w:lang w:val="sr-Cyrl-CS"/>
              </w:rPr>
              <w:t xml:space="preserve">б) </w:t>
            </w:r>
            <w:r w:rsidRPr="00AE4C6F">
              <w:rPr>
                <w:rFonts w:ascii="Times New Roman" w:hAnsi="Times New Roman"/>
                <w:b/>
                <w:color w:val="auto"/>
                <w:lang w:val="sr-Cyrl-CS"/>
              </w:rPr>
              <w:t xml:space="preserve">доказ о радном статусу: за носиоце лиценци који су код понуђача запослени </w:t>
            </w:r>
            <w:r w:rsidRPr="00AE4C6F">
              <w:rPr>
                <w:rFonts w:ascii="Times New Roman" w:hAnsi="Times New Roman"/>
                <w:color w:val="auto"/>
                <w:lang w:val="sr-Cyrl-CS"/>
              </w:rPr>
              <w:t xml:space="preserve">– фотокопију уговора о раду и М-А образац, </w:t>
            </w:r>
          </w:p>
        </w:tc>
      </w:tr>
      <w:tr w:rsidR="00CB33CF" w:rsidRPr="00AE4C6F" w14:paraId="3AC3A3AF" w14:textId="77777777" w:rsidTr="00166912">
        <w:tc>
          <w:tcPr>
            <w:tcW w:w="9923" w:type="dxa"/>
            <w:shd w:val="clear" w:color="auto" w:fill="auto"/>
          </w:tcPr>
          <w:p w14:paraId="500DC176" w14:textId="77777777" w:rsidR="00CB33CF" w:rsidRPr="00AE4C6F" w:rsidRDefault="00CB33CF" w:rsidP="00166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AE4C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в) доказ о радном ангажовању: за носиоце лиценци који нису запослени код понуђача</w:t>
            </w:r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уговор – фотокопија уговора о делу / уговора о обављању привремених и повремених послова или другог уговора о радном ангажовању и одговарајући М образац у складу са законом о раду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доприносима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социјално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C6F">
              <w:rPr>
                <w:rFonts w:ascii="Times New Roman" w:hAnsi="Times New Roman" w:cs="Times New Roman"/>
                <w:sz w:val="24"/>
                <w:szCs w:val="24"/>
              </w:rPr>
              <w:t>осигурање</w:t>
            </w:r>
            <w:proofErr w:type="spellEnd"/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CB33CF" w:rsidRPr="00AE4C6F" w14:paraId="74661DF0" w14:textId="77777777" w:rsidTr="00166912">
        <w:tc>
          <w:tcPr>
            <w:tcW w:w="9923" w:type="dxa"/>
            <w:shd w:val="clear" w:color="auto" w:fill="auto"/>
          </w:tcPr>
          <w:p w14:paraId="7E6B45EA" w14:textId="77777777" w:rsidR="00CB33CF" w:rsidRPr="00AE4C6F" w:rsidRDefault="00CB33CF" w:rsidP="00166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E4C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E4C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 фотокопије личних лиценци са потврдама Инжењерске коморе Србије</w:t>
            </w:r>
            <w:r w:rsidRPr="00AE4C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(уз сваку лиценцу) да су носиоци лиценци чланови Инжењерске коморе Србије, као и да им одлуком Суда части издате лиценце нису одузете (потврда о важности лиценце). Фотокопија потврде о важности лиценце мора се оверити печатом имаоца лиценце и његовим потписом;</w:t>
            </w:r>
          </w:p>
        </w:tc>
      </w:tr>
    </w:tbl>
    <w:p w14:paraId="0C976AD0" w14:textId="77777777" w:rsidR="00DA7C2B" w:rsidRPr="00AE4C6F" w:rsidRDefault="00DA7C2B" w:rsidP="00DA7C2B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E97353" w14:textId="77777777" w:rsidR="00A756B5" w:rsidRPr="00AE4C6F" w:rsidRDefault="00A756B5" w:rsidP="00A7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1F9EEC0" w14:textId="77777777" w:rsidR="00FB5CC3" w:rsidRPr="00AE4C6F" w:rsidRDefault="00A756B5" w:rsidP="003F3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Питање: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ли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Latn-RS"/>
        </w:rPr>
        <w:t xml:space="preserve">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су понуђачи у обавези доставити оригинал обавезујуће писмо о намерама банке за повраћај аванса, обзиром да је на страни 23. наведено да је обавезна садржина понуда, али на страни бр. 27., која се односи на финансијс</w:t>
      </w:r>
      <w:r w:rsidR="00FB5CC3"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ко обезбеђење понуде, није наведена достава истог?</w:t>
      </w:r>
    </w:p>
    <w:p w14:paraId="2C490D0C" w14:textId="77777777" w:rsidR="00DA7C2B" w:rsidRPr="00AE4C6F" w:rsidRDefault="00DA7C2B" w:rsidP="00DA7C2B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866246" w14:textId="56B7EA09" w:rsidR="00E45644" w:rsidRPr="00AE4C6F" w:rsidRDefault="00FB5CC3" w:rsidP="00FB5CC3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="00CB33CF" w:rsidRPr="00AE4C6F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ru-RU"/>
        </w:rPr>
        <w:t xml:space="preserve"> </w:t>
      </w:r>
      <w:r w:rsidR="00CB33CF" w:rsidRPr="00AE4C6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Уколико се понуђач буде изјаснио да жели авансно плаћање </w:t>
      </w:r>
      <w:r w:rsidR="00620DB9" w:rsidRPr="00AE4C6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(највише до 30%) </w:t>
      </w:r>
      <w:r w:rsidR="00CB33CF" w:rsidRPr="00AE4C6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 обавези је да достави</w:t>
      </w:r>
      <w:r w:rsidR="00E45644" w:rsidRPr="00AE4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45644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оригинал обавезујуће писмо о намерама банке за повраћај аванса</w:t>
      </w:r>
      <w:r w:rsidR="00620DB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супротном – није у обавези да доставља наведено писмо.</w:t>
      </w:r>
    </w:p>
    <w:p w14:paraId="0374D3E7" w14:textId="77777777" w:rsidR="00FB5CC3" w:rsidRPr="00AE4C6F" w:rsidRDefault="00CB33CF" w:rsidP="00FB5CC3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hAnsi="Times New Roman" w:cs="Times New Roman"/>
          <w:b/>
          <w:color w:val="FF0000"/>
          <w:spacing w:val="-1"/>
          <w:sz w:val="24"/>
          <w:szCs w:val="24"/>
          <w:lang w:val="ru-RU"/>
        </w:rPr>
        <w:t xml:space="preserve"> </w:t>
      </w:r>
    </w:p>
    <w:p w14:paraId="33F1E86F" w14:textId="77777777" w:rsidR="00FB5CC3" w:rsidRPr="00AE4C6F" w:rsidRDefault="00FB5CC3" w:rsidP="00FB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6EC7E8" w14:textId="77777777" w:rsidR="00FB5CC3" w:rsidRPr="00AE4C6F" w:rsidRDefault="00FB5CC3" w:rsidP="003F3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lastRenderedPageBreak/>
        <w:t>Да ли су понуђачи у обавези доставити образац о произвођачима материјала и опреме, како је наведено на страни бр. 31., у слободној форми, обзиром на то да, исти образац није предвиђен конкурсном документацијом?</w:t>
      </w:r>
    </w:p>
    <w:p w14:paraId="4EF80A76" w14:textId="77777777" w:rsidR="00DA7C2B" w:rsidRPr="00AE4C6F" w:rsidRDefault="00DA7C2B" w:rsidP="00DA7C2B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B64263" w14:textId="6809638E" w:rsidR="00FB5CC3" w:rsidRPr="00AE4C6F" w:rsidRDefault="003F3AD9" w:rsidP="003F3AD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5CC3" w:rsidRPr="00AE4C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Одговор:</w:t>
      </w:r>
      <w:r w:rsidR="00E45644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</w:t>
      </w:r>
      <w:r w:rsidR="00E45644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онуђачи су у обавези да доставе образац о произвођачима материјала и опреме, у слободној форми.</w:t>
      </w:r>
    </w:p>
    <w:p w14:paraId="171D8A90" w14:textId="77777777" w:rsidR="00FB5CC3" w:rsidRPr="00AE4C6F" w:rsidRDefault="00FB5CC3" w:rsidP="00FB5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3596B6F" w14:textId="77777777" w:rsidR="00DA7C2B" w:rsidRPr="00AE4C6F" w:rsidRDefault="00FB5CC3" w:rsidP="003F3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Шта доставити као доказ за багер гусеничар који се по Закону </w:t>
      </w:r>
      <w:r w:rsidR="00DA7C2B"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о безбедности у саобраћају не региструје?</w:t>
      </w:r>
    </w:p>
    <w:p w14:paraId="787B7935" w14:textId="77777777" w:rsidR="00A756B5" w:rsidRPr="00AE4C6F" w:rsidRDefault="00A756B5" w:rsidP="00DA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3E5D812" w14:textId="3AB5E731" w:rsidR="00E05499" w:rsidRPr="00AE4C6F" w:rsidRDefault="00DA7C2B" w:rsidP="00E05499">
      <w:pPr>
        <w:autoSpaceDE w:val="0"/>
        <w:autoSpaceDN w:val="0"/>
        <w:adjustRightInd w:val="0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="003F3AD9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263ABC"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багере гусеничаре</w:t>
      </w:r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прихватићемо доказе понуђача о располагању наведене грађевинске машине</w:t>
      </w:r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>власништва</w:t>
      </w:r>
      <w:proofErr w:type="spellEnd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>закупа</w:t>
      </w:r>
      <w:proofErr w:type="spellEnd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5499" w:rsidRPr="00AE4C6F">
        <w:rPr>
          <w:rFonts w:ascii="Times New Roman" w:eastAsia="Times New Roman" w:hAnsi="Times New Roman" w:cs="Times New Roman"/>
          <w:sz w:val="24"/>
          <w:szCs w:val="24"/>
        </w:rPr>
        <w:t>лизинга</w:t>
      </w:r>
      <w:proofErr w:type="spellEnd"/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63ABC"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без обавезе достављања саобраћајне дозволе</w:t>
      </w:r>
      <w:r w:rsidR="00E05499"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63ABC"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63ABC"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багере „точкаше“, иста се мора доставити</w:t>
      </w:r>
    </w:p>
    <w:p w14:paraId="6F7308C8" w14:textId="2B24D386" w:rsidR="00263ABC" w:rsidRPr="00AE4C6F" w:rsidRDefault="00263ABC" w:rsidP="00E05499">
      <w:pPr>
        <w:autoSpaceDE w:val="0"/>
        <w:autoSpaceDN w:val="0"/>
        <w:adjustRightInd w:val="0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D380B0" w14:textId="61131B73" w:rsidR="00263ABC" w:rsidRPr="00AE4C6F" w:rsidRDefault="00263ABC" w:rsidP="00E05499">
      <w:pPr>
        <w:autoSpaceDE w:val="0"/>
        <w:autoSpaceDN w:val="0"/>
        <w:adjustRightInd w:val="0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Извод из конкурсне документације, стр. 18. и 19..</w:t>
      </w:r>
    </w:p>
    <w:p w14:paraId="139F0116" w14:textId="77777777" w:rsidR="00E05499" w:rsidRPr="00AE4C6F" w:rsidRDefault="00E05499" w:rsidP="00E05499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val="sr-Cyrl-CS"/>
        </w:rPr>
      </w:pPr>
      <w:r w:rsidRPr="00AE4C6F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val="sr-Cyrl-CS"/>
        </w:rPr>
        <w:t>Доказ:</w:t>
      </w:r>
    </w:p>
    <w:p w14:paraId="55F95499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а) за опрему набављену до краја године која претходи години у којој се спроводи јавна набавка,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пописна листа или аналитичка картица основних средстава</w:t>
      </w: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којим ће видно бити означена тражена техничка опрема. Пописна листа мора бити са последњим датумом у години која претходи години у којој се јавна набавка спроводи, потписана од стране овлашћеног лица и оверена печатом понуђача.</w:t>
      </w:r>
    </w:p>
    <w:p w14:paraId="592F66D8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б) за средства набављена у години у којој се јавна набавка спроводи –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рачун и </w:t>
      </w:r>
    </w:p>
    <w:p w14:paraId="0A895094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AE4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отпремница;</w:t>
      </w:r>
    </w:p>
    <w:p w14:paraId="50E4E4A7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в) доказ о закупу – фотокопија уговора о закупу</w:t>
      </w:r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пописном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листом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закуподавца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7824BEEB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г) доказ о лизингу – фотокопија уговора о лизингу.</w:t>
      </w:r>
    </w:p>
    <w:p w14:paraId="34BD3EEC" w14:textId="77777777" w:rsidR="00E05499" w:rsidRPr="00AE4C6F" w:rsidRDefault="00E05499" w:rsidP="00E05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ђ) за камионе, багере</w:t>
      </w:r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утоварну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</w:rPr>
        <w:t>лопату</w:t>
      </w:r>
      <w:proofErr w:type="spellEnd"/>
      <w:r w:rsidRPr="00AE4C6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конбиновану машину код којих постоји законска обавеза регистрације без обзира на основ коришћења (власништво, закуп, лизинг)– копије саобраћајних дозвола (фотокопије и испис из читача) и полисе осигурања важеће на дан отварања;</w:t>
      </w:r>
    </w:p>
    <w:p w14:paraId="5B23BFD2" w14:textId="77777777" w:rsidR="00E05499" w:rsidRPr="00AE4C6F" w:rsidRDefault="00E05499" w:rsidP="00E054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задржава право да од понуђача накнадно захтева доставу оригинала или оверене фотокопије уговора на увид.</w:t>
      </w:r>
    </w:p>
    <w:p w14:paraId="0582BE33" w14:textId="77777777" w:rsidR="00DA7C2B" w:rsidRPr="00AE4C6F" w:rsidRDefault="00E05499" w:rsidP="00E05499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Понуђач је дужан да попуни </w:t>
      </w:r>
      <w:proofErr w:type="spellStart"/>
      <w:r w:rsidRPr="00AE4C6F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</w:t>
      </w:r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азац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изјаве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техничкој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опремљености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који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дат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Поглављу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E4C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XIII</w:t>
      </w:r>
      <w:r w:rsidRPr="00AE4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.</w:t>
      </w:r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Конкурсне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документације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Образац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бити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оверен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потписан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стране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одговорног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достављен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уз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AE4C6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3C75504" w14:textId="77777777" w:rsidR="004A6EB4" w:rsidRPr="00AE4C6F" w:rsidRDefault="004A6EB4" w:rsidP="004A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1152D8F" w14:textId="77777777" w:rsidR="004A6EB4" w:rsidRPr="00AE4C6F" w:rsidRDefault="004A6EB4" w:rsidP="004A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8175C7" w14:textId="6FCDD2C8" w:rsidR="004A6EB4" w:rsidRPr="00AE4C6F" w:rsidRDefault="0006227C" w:rsidP="000622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ли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Latn-RS"/>
        </w:rPr>
        <w:t xml:space="preserve">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се спајање цеви мора вршити </w:t>
      </w:r>
      <w:proofErr w:type="spell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електрофузионим</w:t>
      </w:r>
      <w:proofErr w:type="spell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 спојницама,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и где </w:t>
      </w:r>
      <w:proofErr w:type="gramStart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то 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 стоји</w:t>
      </w:r>
      <w:proofErr w:type="gramEnd"/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 xml:space="preserve"> у пројекту</w:t>
      </w:r>
      <w:r w:rsidRPr="00AE4C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  <w:t>?</w:t>
      </w:r>
    </w:p>
    <w:p w14:paraId="2590414A" w14:textId="77777777" w:rsidR="004A6EB4" w:rsidRPr="00AE4C6F" w:rsidRDefault="004A6EB4" w:rsidP="004A6EB4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</w:p>
    <w:p w14:paraId="2A25803D" w14:textId="32C11E20" w:rsidR="004A6EB4" w:rsidRPr="00AE4C6F" w:rsidRDefault="0006227C" w:rsidP="004A6E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14:paraId="3EDB48F0" w14:textId="63C992A7" w:rsidR="002006C3" w:rsidRPr="00AE4C6F" w:rsidRDefault="0006227C" w:rsidP="00200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AE4C6F">
        <w:rPr>
          <w:rFonts w:ascii="Times New Roman" w:hAnsi="Times New Roman" w:cs="Times New Roman"/>
          <w:sz w:val="24"/>
          <w:szCs w:val="24"/>
          <w:lang w:val="sr-Cyrl-RS"/>
        </w:rPr>
        <w:t>пројектно-техничкој документацији у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7C9E57" w14:textId="723EB3F5" w:rsidR="002006C3" w:rsidRPr="00AE4C6F" w:rsidRDefault="00B0021A" w:rsidP="00B0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6227C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зводу из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пројекта, у одељку „Технички извештај“, на стр. 13. и 15., затим у „Локацијске услове„ на стр. 44., стоји: „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арматура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lastRenderedPageBreak/>
        <w:t>су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притисак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10 bara.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Спајање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електрофузионим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заваривањем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D80445" w:rsidRPr="00AE4C6F">
        <w:rPr>
          <w:rFonts w:ascii="Times New Roman" w:hAnsi="Times New Roman" w:cs="Times New Roman"/>
          <w:sz w:val="24"/>
          <w:szCs w:val="24"/>
        </w:rPr>
        <w:t>експлоатацији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>.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14:paraId="7BB55B27" w14:textId="08D5A5C5" w:rsidR="004A6EB4" w:rsidRDefault="00B0021A" w:rsidP="00B0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У Пројекту за грађевинску дозволу,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на стр. 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9.,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на стр. 40., 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>63.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и 65.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 w:rsidR="002006C3" w:rsidRPr="00AE4C6F">
        <w:rPr>
          <w:rFonts w:ascii="Times New Roman" w:hAnsi="Times New Roman" w:cs="Times New Roman"/>
          <w:sz w:val="24"/>
          <w:szCs w:val="24"/>
          <w:lang w:val="sr-Cyrl-RS"/>
        </w:rPr>
        <w:t>стоји: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арматура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притисак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10 bara.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Спајање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цеви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електрофузионим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заваривањем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45" w:rsidRPr="00AE4C6F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D80445" w:rsidRPr="00AE4C6F">
        <w:rPr>
          <w:rFonts w:ascii="Times New Roman" w:hAnsi="Times New Roman" w:cs="Times New Roman"/>
          <w:sz w:val="24"/>
          <w:szCs w:val="24"/>
        </w:rPr>
        <w:t>експлоатацији</w:t>
      </w:r>
      <w:proofErr w:type="spellEnd"/>
      <w:r w:rsidR="00D80445" w:rsidRPr="00AE4C6F">
        <w:rPr>
          <w:rFonts w:ascii="Times New Roman" w:hAnsi="Times New Roman" w:cs="Times New Roman"/>
          <w:sz w:val="24"/>
          <w:szCs w:val="24"/>
        </w:rPr>
        <w:t>.</w:t>
      </w:r>
      <w:r w:rsidR="00D80445" w:rsidRPr="00AE4C6F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14:paraId="0745324A" w14:textId="04E08415" w:rsidR="00DE0B9C" w:rsidRPr="00DE0B9C" w:rsidRDefault="00DE0B9C" w:rsidP="00B0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Увид </w:t>
      </w:r>
      <w:r w:rsidR="00224212">
        <w:rPr>
          <w:rFonts w:ascii="Times New Roman" w:hAnsi="Times New Roman" w:cs="Times New Roman"/>
          <w:sz w:val="24"/>
          <w:szCs w:val="24"/>
          <w:lang w:val="sr-Cyrl-RS"/>
        </w:rPr>
        <w:t>у пројектно-техничку документацију можете остварити на следећем линку:</w:t>
      </w:r>
      <w:bookmarkStart w:id="0" w:name="_GoBack"/>
      <w:bookmarkEnd w:id="0"/>
    </w:p>
    <w:p w14:paraId="580764A5" w14:textId="7BEC01F0" w:rsidR="00DE0B9C" w:rsidRDefault="00DE0B9C" w:rsidP="00B0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85328">
          <w:rPr>
            <w:rStyle w:val="Hyperlink"/>
            <w:rFonts w:ascii="Times New Roman" w:hAnsi="Times New Roman" w:cs="Times New Roman"/>
            <w:sz w:val="24"/>
            <w:szCs w:val="24"/>
          </w:rPr>
          <w:t>http://opstinadoljevac.rs/</w:t>
        </w:r>
        <w:r w:rsidRPr="00C85328">
          <w:rPr>
            <w:rStyle w:val="Hyperlink"/>
            <w:rFonts w:ascii="Times New Roman" w:hAnsi="Times New Roman" w:cs="Times New Roman"/>
            <w:sz w:val="24"/>
            <w:szCs w:val="24"/>
          </w:rPr>
          <w:t>bigfiles/Poveziva</w:t>
        </w:r>
        <w:r w:rsidRPr="00C85328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C85328">
          <w:rPr>
            <w:rStyle w:val="Hyperlink"/>
            <w:rFonts w:ascii="Times New Roman" w:hAnsi="Times New Roman" w:cs="Times New Roman"/>
            <w:sz w:val="24"/>
            <w:szCs w:val="24"/>
          </w:rPr>
          <w:t>jeSistemaPustaRekaSaNivosom.zip</w:t>
        </w:r>
      </w:hyperlink>
    </w:p>
    <w:p w14:paraId="6A47EBBC" w14:textId="2813524B" w:rsidR="00DE0B9C" w:rsidRPr="00DE0B9C" w:rsidRDefault="00DE0B9C" w:rsidP="00B0021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6B2ED" w14:textId="0B678F8D" w:rsidR="00D80445" w:rsidRPr="00AE4C6F" w:rsidRDefault="00D80445" w:rsidP="00B00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На основу наведеног, понуђачи су дужни да у обрасцу: „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XIII.  ОБРАЗАЦ СТРУКТУРЕ ЦЕНЕ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СА УПУТСТВОМ КАКО ДА СЕ ПОПУНИ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“, 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код „</w:t>
      </w:r>
      <w:r w:rsidR="00AE4C6F" w:rsidRPr="00AE4C6F">
        <w:rPr>
          <w:rFonts w:ascii="Times New Roman" w:hAnsi="Times New Roman" w:cs="Times New Roman"/>
          <w:b/>
          <w:bCs/>
          <w:sz w:val="24"/>
          <w:szCs w:val="24"/>
        </w:rPr>
        <w:t>РАДОВИ НА ИЗГРАДЊИ ВОДОВОДА - ДЕОНИЦА 1</w:t>
      </w:r>
      <w:r w:rsidR="00AE4C6F" w:rsidRPr="00AE4C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 и код </w:t>
      </w:r>
      <w:bookmarkStart w:id="1" w:name="RANGE!A1:H122"/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„</w:t>
      </w:r>
      <w:r w:rsidR="00AE4C6F" w:rsidRPr="00AE4C6F">
        <w:rPr>
          <w:rFonts w:ascii="Times New Roman" w:hAnsi="Times New Roman" w:cs="Times New Roman"/>
          <w:b/>
          <w:bCs/>
          <w:sz w:val="24"/>
          <w:szCs w:val="24"/>
        </w:rPr>
        <w:t>РАДОВИ НА ИЗГРАДЊИ ВОДОВОДА - ДЕОНИЦА 2</w:t>
      </w:r>
      <w:bookmarkEnd w:id="1"/>
      <w:r w:rsidR="00AE4C6F" w:rsidRPr="00AE4C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на позициј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ама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,  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„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4. НАБАВНО МОНТАЖНИ РАДОВИ</w:t>
      </w:r>
      <w:r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“, </w:t>
      </w:r>
      <w:r w:rsidR="009309AD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у цену предвид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е</w:t>
      </w:r>
      <w:r w:rsidR="009309AD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D37D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електрофузоно</w:t>
      </w:r>
      <w:proofErr w:type="spellEnd"/>
      <w:r w:rsidR="00D37D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 заваривање како цеви, тако и </w:t>
      </w:r>
      <w:r w:rsidR="00D37D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PE</w:t>
      </w:r>
      <w:r w:rsidR="00D37D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 фазонских комада и арматур</w:t>
      </w:r>
      <w:r w:rsidR="00AE4C6F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а</w:t>
      </w:r>
      <w:r w:rsidR="009309AD" w:rsidRPr="00AE4C6F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.</w:t>
      </w:r>
    </w:p>
    <w:p w14:paraId="7776F3CE" w14:textId="77777777" w:rsidR="004A6EB4" w:rsidRPr="00AE4C6F" w:rsidRDefault="004A6EB4" w:rsidP="004A6EB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7423CB" w14:textId="77777777" w:rsidR="003933CB" w:rsidRPr="00AE4C6F" w:rsidRDefault="004A6EB4" w:rsidP="00A756B5">
      <w:pPr>
        <w:jc w:val="right"/>
        <w:rPr>
          <w:rFonts w:ascii="Times New Roman" w:hAnsi="Times New Roman" w:cs="Times New Roman"/>
          <w:sz w:val="24"/>
          <w:szCs w:val="24"/>
        </w:rPr>
      </w:pPr>
      <w:r w:rsidRPr="00AE4C6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sectPr w:rsidR="003933CB" w:rsidRPr="00AE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932"/>
    <w:multiLevelType w:val="hybridMultilevel"/>
    <w:tmpl w:val="57F01218"/>
    <w:lvl w:ilvl="0" w:tplc="AF22191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8A596A"/>
    <w:multiLevelType w:val="hybridMultilevel"/>
    <w:tmpl w:val="7382A396"/>
    <w:lvl w:ilvl="0" w:tplc="94307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6E247D"/>
    <w:multiLevelType w:val="hybridMultilevel"/>
    <w:tmpl w:val="33244D7A"/>
    <w:lvl w:ilvl="0" w:tplc="5C4AFE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FB"/>
    <w:rsid w:val="0006227C"/>
    <w:rsid w:val="002006C3"/>
    <w:rsid w:val="00224212"/>
    <w:rsid w:val="00263ABC"/>
    <w:rsid w:val="002C71DF"/>
    <w:rsid w:val="003933CB"/>
    <w:rsid w:val="003F3AD9"/>
    <w:rsid w:val="004A6EB4"/>
    <w:rsid w:val="0054054A"/>
    <w:rsid w:val="00620DB9"/>
    <w:rsid w:val="008D45FB"/>
    <w:rsid w:val="008E62CE"/>
    <w:rsid w:val="009309AD"/>
    <w:rsid w:val="00A756B5"/>
    <w:rsid w:val="00A93E29"/>
    <w:rsid w:val="00AE4C6F"/>
    <w:rsid w:val="00B0021A"/>
    <w:rsid w:val="00CB33CF"/>
    <w:rsid w:val="00D37D6F"/>
    <w:rsid w:val="00D80445"/>
    <w:rsid w:val="00DA7C2B"/>
    <w:rsid w:val="00DE0B9C"/>
    <w:rsid w:val="00E05499"/>
    <w:rsid w:val="00E45644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43E0"/>
  <w15:chartTrackingRefBased/>
  <w15:docId w15:val="{978BF43A-8B75-4099-B554-0CF6B57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EB4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EB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A6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33CF"/>
  </w:style>
  <w:style w:type="paragraph" w:customStyle="1" w:styleId="Default">
    <w:name w:val="Default"/>
    <w:link w:val="DefaultChar"/>
    <w:rsid w:val="00CB33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B33CF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0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stinadoljevac.rs/bigfiles/PovezivanjeSistemaPustaRekaSaNivosom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4</cp:revision>
  <cp:lastPrinted>2019-04-05T06:35:00Z</cp:lastPrinted>
  <dcterms:created xsi:type="dcterms:W3CDTF">2019-04-04T08:53:00Z</dcterms:created>
  <dcterms:modified xsi:type="dcterms:W3CDTF">2019-04-05T09:17:00Z</dcterms:modified>
</cp:coreProperties>
</file>